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b w:val="1"/>
          <w:sz w:val="36"/>
          <w:szCs w:val="36"/>
          <w:rtl w:val="0"/>
        </w:rPr>
        <w:t xml:space="preserve">Joint Schedule 6 (Key Subcontractors)</w:t>
      </w:r>
      <w:r w:rsidDel="00000000" w:rsidR="00000000" w:rsidRPr="00000000">
        <w:rPr>
          <w:rtl w:val="0"/>
        </w:rPr>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Restrictions on certain subcontractors</w:t>
      </w:r>
    </w:p>
    <w:p w:rsidR="00000000" w:rsidDel="00000000" w:rsidP="00000000" w:rsidRDefault="00000000" w:rsidRPr="00000000" w14:paraId="0000000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entitled to sub-contract its obligations under the DPS Contract to the Key Subcontractors identified on the Platform. </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entitled to sub-contract its obligations under an Order Contract to Key Subcontractors listed on the Platform who are specifically nominated in the Order Form.</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during the Contract Period the Supplier wishes to enter into a new Key Sub-contract or replace a Key Subcontractor, it must obtain the prior written consent of CCS and the Buyer and the Supplier shall, at the time of requesting such consent, provide CCS and the Buyer with the information detailed in Paragraph 1.4.  The decision of CCS and the Buyer to consent or not will not be unreasonably withheld or delayed.  Where CCS consents to the appointment of a new Key Subcontractor then they will be added to the Platform.  Where the Buyer consents to the appointment of a new Key Subcontractor then they will be added to the Key Subcontractor section of the Order Form.  CCS and the Buyer may reasonably withhold their consent to the appointment of a Key Subcontractor if it considers that:</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50"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appointment of a proposed Key Subcontractor may prejudice the provision of the Deliverables or may be contrary to its interests;</w:t>
      </w:r>
    </w:p>
    <w:p w:rsidR="00000000" w:rsidDel="00000000" w:rsidP="00000000" w:rsidRDefault="00000000" w:rsidRPr="00000000" w14:paraId="0000000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50"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Key Subcontractor is unreliable and/or has not provided reliable goods and or reasonable services to its other customers; and/or</w:t>
      </w:r>
    </w:p>
    <w:p w:rsidR="00000000" w:rsidDel="00000000" w:rsidP="00000000" w:rsidRDefault="00000000" w:rsidRPr="00000000" w14:paraId="0000000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50" w:right="0" w:hanging="8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Key Subcontractor employs unfit persons.</w:t>
      </w:r>
    </w:p>
    <w:p w:rsidR="00000000" w:rsidDel="00000000" w:rsidP="00000000" w:rsidRDefault="00000000" w:rsidRPr="00000000" w14:paraId="0000000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CCS and the Buyer with the following information in respect of the proposed Key Subcontractor:</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proposed Key Subcontractor’s name, registered office and company registration number;</w:t>
      </w:r>
    </w:p>
    <w:p w:rsidR="00000000" w:rsidDel="00000000" w:rsidP="00000000" w:rsidRDefault="00000000" w:rsidRPr="00000000" w14:paraId="0000000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scope/description of any Deliverables to be provided by the proposed Key Subcontractor; </w:t>
      </w:r>
    </w:p>
    <w:p w:rsidR="00000000" w:rsidDel="00000000" w:rsidP="00000000" w:rsidRDefault="00000000" w:rsidRPr="00000000" w14:paraId="0000000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proposed Key Subcontractor is an Affiliate of the Supplier, evidence that demonstrates to the reasonable satisfaction of the CCS and the Buyer that the proposed Key Sub-Contract has been agreed on "arm’s-length" terms;</w:t>
      </w:r>
    </w:p>
    <w:p w:rsidR="00000000" w:rsidDel="00000000" w:rsidP="00000000" w:rsidRDefault="00000000" w:rsidRPr="00000000" w14:paraId="0000000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CCS, the Key Sub-Contract price expressed as a percentage of the total projected DPS Price over the DPS Contract Period; </w:t>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Buyer, the Key Sub-Contract price expressed as a percentage of the total projected Charges over the Order Contract Period; and</w:t>
      </w:r>
    </w:p>
    <w:p w:rsidR="00000000" w:rsidDel="00000000" w:rsidP="00000000" w:rsidRDefault="00000000" w:rsidRPr="00000000" w14:paraId="0000000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applicable) Credit Rating Threshold (as defined in Joint Schedule 7 (Financial Distress)) of the Key Subcontractor.</w:t>
      </w:r>
    </w:p>
    <w:p w:rsidR="00000000" w:rsidDel="00000000" w:rsidP="00000000" w:rsidRDefault="00000000" w:rsidRPr="00000000" w14:paraId="0000001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requested by CCS and/or the Buyer, within ten (10) Working Days of receipt of the information provided by the Supplier pursuant to Paragraph 1.4, the Supplier shall also provide:</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copy of the proposed Key Sub-Contract; and </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further information reasonably requested by CCS and/or the Buyer.</w:t>
      </w:r>
    </w:p>
    <w:p w:rsidR="00000000" w:rsidDel="00000000" w:rsidP="00000000" w:rsidRDefault="00000000" w:rsidRPr="00000000" w14:paraId="0000001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00" w:right="0" w:hanging="54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each new or replacement Key Sub-Contract shall include: </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provisions which will enable the Supplier to discharge its obligations under the Contracts;</w:t>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right under CRTPA for CCS and the Buyer to enforce any provisions under the Key Sub-Contract which confer a benefit upon CCS and the Buyer respectively;</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provision enabling CCS and the Buyer to enforce the Key Sub-Contract as if it were the Supplier; </w:t>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provision enabling the Supplier to assign, novate or otherwise transfer any of its rights and/or obligations under the Key Sub-Contract to CCS and/or the Buyer; </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710" w:right="0" w:hanging="81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obligations no less onerous on the Key Subcontractor than those imposed on the Supplier under the DPS Contract in respect of:</w:t>
      </w:r>
    </w:p>
    <w:p w:rsidR="00000000" w:rsidDel="00000000" w:rsidP="00000000" w:rsidRDefault="00000000" w:rsidRPr="00000000" w14:paraId="0000001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data protection requirements set out in Clause 14 (Data protection);</w:t>
      </w:r>
    </w:p>
    <w:p w:rsidR="00000000" w:rsidDel="00000000" w:rsidP="00000000" w:rsidRDefault="00000000" w:rsidRPr="00000000" w14:paraId="000000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FOIA and other access request requirements set out in Clause 16 (When you can share information);</w:t>
      </w:r>
    </w:p>
    <w:p w:rsidR="00000000" w:rsidDel="00000000" w:rsidP="00000000" w:rsidRDefault="00000000" w:rsidRPr="00000000" w14:paraId="000000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obligation not to embarrass CCS or the Buyer or otherwise bring CCS or the Buyer into disrepute; </w:t>
      </w:r>
    </w:p>
    <w:p w:rsidR="00000000" w:rsidDel="00000000" w:rsidP="00000000" w:rsidRDefault="00000000" w:rsidRPr="00000000" w14:paraId="000000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keeping of records in respect of the goods and/or services being provided under the Key Sub-Contract, including the maintenance of Open Book Data; and</w:t>
      </w:r>
    </w:p>
    <w:p w:rsidR="00000000" w:rsidDel="00000000" w:rsidP="00000000" w:rsidRDefault="00000000" w:rsidRPr="00000000" w14:paraId="00000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2552"/>
        </w:tabs>
        <w:spacing w:after="120" w:before="120" w:line="240" w:lineRule="auto"/>
        <w:ind w:left="2563" w:right="0" w:hanging="853.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conduct of audits set out in Clause 6 (Record keeping and reporting);</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provisions enabling the Supplier to terminate the Key Sub-Contract on notice on terms no more onerous on the Supplier than those imposed on CCS and the Buyer under Clauses 10.4 (When CCS or the Buyer can end this contract) and 10.5 (What happens if the contract ends) of this Contract; and</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provision restricting the ability of the Key Subcontractor to sub-contract all or any part of the provision of the Deliverables provided to the Supplier under the Key Sub-Contract without first seeking the written consent of CCS and the Buyer.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13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6">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tab/>
      <w:t xml:space="preserve">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8">
    <w:pPr>
      <w:spacing w:after="0" w:line="240" w:lineRule="auto"/>
      <w:jc w:val="both"/>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v1.1</w:t>
      <w:tab/>
    </w:r>
    <w:r w:rsidDel="00000000" w:rsidR="00000000" w:rsidRPr="00000000">
      <w:rPr>
        <w:rFonts w:ascii="Arial" w:cs="Arial" w:eastAsia="Arial" w:hAnsi="Arial"/>
        <w:color w:val="bfbfbf"/>
        <w:sz w:val="20"/>
        <w:szCs w:val="20"/>
        <w:rtl w:val="0"/>
      </w:rPr>
      <w:tab/>
      <w:tab/>
    </w:r>
    <w:bookmarkStart w:colFirst="0" w:colLast="0" w:name="bookmark=id.3dy6vkm" w:id="6"/>
    <w:bookmarkEnd w:id="6"/>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9">
    <w:pPr>
      <w:tabs>
        <w:tab w:val="center" w:leader="none" w:pos="4513"/>
        <w:tab w:val="right" w:leader="none" w:pos="9026"/>
      </w:tabs>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w:t>
      <w:tab/>
      <w:t xml:space="preserve">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C">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 v3.0</w:t>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Joint Schedule 6 (Key Subcontractors)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ascii="Calibri" w:cs="Arial" w:eastAsia="Times New Roman" w:hAnsi="Calibri"/>
      <w:b w:val="1"/>
      <w:i w:val="1"/>
    </w:rPr>
  </w:style>
  <w:style w:type="paragraph" w:styleId="GPSL3Guidance" w:customStyle="1">
    <w:name w:val="GPS L3 Guidance"/>
    <w:basedOn w:val="Normal"/>
    <w:link w:val="GPSL3GuidanceChar"/>
    <w:qFormat w:val="1"/>
    <w:pPr>
      <w:tabs>
        <w:tab w:val="left" w:pos="1985"/>
      </w:tabs>
      <w:adjustRightInd w:val="0"/>
      <w:spacing w:after="120" w:before="120" w:line="240" w:lineRule="auto"/>
      <w:ind w:left="1985"/>
      <w:jc w:val="both"/>
    </w:pPr>
    <w:rPr>
      <w:rFonts w:ascii="Calibri" w:cs="Arial" w:eastAsia="Times New Roman" w:hAnsi="Calibri"/>
      <w:b w:val="1"/>
      <w:i w:val="1"/>
      <w:lang w:eastAsia="zh-CN"/>
    </w:rPr>
  </w:style>
  <w:style w:type="paragraph" w:styleId="GPSL1Schedulenumbered" w:customStyle="1">
    <w:name w:val="GPS L1 Schedule numbered"/>
    <w:basedOn w:val="Normal"/>
    <w:link w:val="GPSL1SchedulenumberedChar1"/>
    <w:qFormat w:val="1"/>
    <w:pPr>
      <w:numPr>
        <w:numId w:val="1"/>
      </w:numPr>
      <w:tabs>
        <w:tab w:val="left" w:pos="851"/>
      </w:tabs>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GPSL1SchedulenumberedChar1" w:customStyle="1">
    <w:name w:val="GPS L1 Schedule numbered Char1"/>
    <w:link w:val="GPSL1Schedulenumbered"/>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GPSL1CLAUSEHEADING" w:customStyle="1">
    <w:name w:val="GPS L1 CLAUSE HEADING"/>
    <w:basedOn w:val="Normal"/>
    <w:next w:val="Normal"/>
    <w:qFormat w:val="1"/>
    <w:pPr>
      <w:numPr>
        <w:numId w:val="3"/>
      </w:numPr>
      <w:tabs>
        <w:tab w:val="left" w:pos="142"/>
      </w:tabs>
      <w:adjustRightInd w:val="0"/>
      <w:spacing w:after="240" w:before="120" w:line="240" w:lineRule="auto"/>
      <w:jc w:val="both"/>
      <w:outlineLvl w:val="1"/>
    </w:pPr>
    <w:rPr>
      <w:rFonts w:ascii="Calibri" w:cs="Arial" w:eastAsia="STZhongsong" w:hAnsi="Calibri"/>
      <w:b w:val="1"/>
      <w:caps w:val="1"/>
      <w:lang w:eastAsia="zh-CN"/>
    </w:rPr>
  </w:style>
  <w:style w:type="paragraph" w:styleId="GPSL3numberedclause" w:customStyle="1">
    <w:name w:val="GPS L3 numbered clause"/>
    <w:basedOn w:val="Normal"/>
    <w:link w:val="GPSL3numberedclauseChar"/>
    <w:qFormat w:val="1"/>
    <w:pPr>
      <w:numPr>
        <w:ilvl w:val="2"/>
        <w:numId w:val="3"/>
      </w:numPr>
      <w:tabs>
        <w:tab w:val="left" w:pos="1985"/>
      </w:tabs>
      <w:adjustRightInd w:val="0"/>
      <w:spacing w:after="120" w:before="120" w:line="240" w:lineRule="auto"/>
      <w:jc w:val="both"/>
    </w:pPr>
    <w:rPr>
      <w:rFonts w:ascii="Calibri" w:cs="Arial" w:eastAsia="Times New Roman" w:hAnsi="Calibri"/>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pPr>
  </w:style>
  <w:style w:type="paragraph" w:styleId="GPSL2NumberedBoldHeading" w:customStyle="1">
    <w:name w:val="GPS L2 Numbered Bold Heading"/>
    <w:basedOn w:val="Normal"/>
    <w:link w:val="GPSL2NumberedBoldHeadingChar"/>
    <w:qFormat w:val="1"/>
    <w:pPr>
      <w:numPr>
        <w:ilvl w:val="1"/>
        <w:numId w:val="3"/>
      </w:numPr>
      <w:adjustRightInd w:val="0"/>
      <w:spacing w:after="120" w:before="120" w:line="240" w:lineRule="auto"/>
      <w:ind w:left="936" w:hanging="576"/>
      <w:jc w:val="both"/>
    </w:pPr>
    <w:rPr>
      <w:rFonts w:ascii="Calibri" w:cs="Arial" w:eastAsia="Times New Roman" w:hAnsi="Calibri"/>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character" w:styleId="legds2" w:customStyle="1">
    <w:name w:val="legds2"/>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GPSL2numberedclause" w:customStyle="1">
    <w:name w:val="GPS L2 numbered clause"/>
    <w:basedOn w:val="Normal"/>
    <w:qFormat w:val="1"/>
    <w:pPr>
      <w:tabs>
        <w:tab w:val="left" w:pos="1134"/>
      </w:tabs>
      <w:adjustRightInd w:val="0"/>
      <w:spacing w:after="120" w:before="120" w:line="240" w:lineRule="auto"/>
      <w:ind w:left="1134" w:hanging="567"/>
      <w:jc w:val="both"/>
    </w:pPr>
    <w:rPr>
      <w:rFonts w:ascii="Calibri" w:cs="Arial" w:eastAsia="Times New Roman" w:hAnsi="Calibri"/>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1" w:customStyle="1">
    <w:name w:val="Table Grid1"/>
    <w:basedOn w:val="TableNormal"/>
    <w:next w:val="TableGrid"/>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jMINSq+o371w06P4jH94DkXm2Q==">CgMxLjAyCGguZ2pkZ3hzMgloLjMwajB6bGwyCWguMWZvYjl0ZTIJaC4zem55c2g3MgloLjJldDkycDAyCGgudHlqY3d0MgppZC4zZHk2dmttOAByITExRExqWWlGczZOMFRIRDR0QWx1aU1UVU9hRUUwMnNETg==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2019-08-12T10:28:00Z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